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4DB9">
      <w:pPr>
        <w:autoSpaceDE w:val="0"/>
        <w:autoSpaceDN w:val="0"/>
        <w:adjustRightInd w:val="0"/>
        <w:spacing w:line="290" w:lineRule="atLeast"/>
        <w:ind w:left="630" w:hanging="210"/>
        <w:rPr>
          <w:rFonts w:ascii="ＭＳ 明朝" w:eastAsia="ＭＳ 明朝" w:cs="ＭＳ 明朝"/>
          <w:kern w:val="0"/>
          <w:szCs w:val="21"/>
          <w:lang w:val="ja-JP"/>
        </w:rPr>
      </w:pPr>
      <w:bookmarkStart w:id="0" w:name="_GoBack"/>
      <w:bookmarkEnd w:id="0"/>
      <w:r>
        <w:rPr>
          <w:rFonts w:ascii="ＭＳ 明朝" w:eastAsia="ＭＳ 明朝" w:cs="ＭＳ 明朝" w:hint="eastAsia"/>
          <w:kern w:val="0"/>
          <w:szCs w:val="21"/>
          <w:lang w:val="ja-JP"/>
        </w:rPr>
        <w:t>○三浦市海岸保全区域に係る占用料等に関する条例</w:t>
      </w:r>
    </w:p>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12</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日三浦市条例第５号</w:t>
      </w:r>
    </w:p>
    <w:p w:rsidR="00000000" w:rsidRDefault="00114DB9">
      <w:pPr>
        <w:autoSpaceDE w:val="0"/>
        <w:autoSpaceDN w:val="0"/>
        <w:adjustRightInd w:val="0"/>
        <w:spacing w:line="290" w:lineRule="atLeast"/>
        <w:ind w:left="168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改正</w:t>
      </w:r>
    </w:p>
    <w:p w:rsidR="00000000" w:rsidRDefault="00114DB9">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30</w:t>
      </w:r>
      <w:r>
        <w:rPr>
          <w:rFonts w:ascii="ＭＳ 明朝" w:eastAsia="ＭＳ 明朝" w:cs="ＭＳ 明朝" w:hint="eastAsia"/>
          <w:kern w:val="0"/>
          <w:szCs w:val="21"/>
          <w:lang w:val="ja-JP"/>
        </w:rPr>
        <w:t>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w:t>
      </w:r>
      <w:r>
        <w:rPr>
          <w:rFonts w:ascii="ＭＳ 明朝" w:eastAsia="ＭＳ 明朝" w:cs="ＭＳ 明朝"/>
          <w:kern w:val="0"/>
          <w:szCs w:val="21"/>
          <w:lang w:val="ja-JP"/>
        </w:rPr>
        <w:t>14</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27</w:t>
      </w:r>
      <w:r>
        <w:rPr>
          <w:rFonts w:ascii="ＭＳ 明朝" w:eastAsia="ＭＳ 明朝" w:cs="ＭＳ 明朝" w:hint="eastAsia"/>
          <w:kern w:val="0"/>
          <w:szCs w:val="21"/>
          <w:lang w:val="ja-JP"/>
        </w:rPr>
        <w:t>号</w:t>
      </w:r>
    </w:p>
    <w:p w:rsidR="00000000" w:rsidRDefault="00114DB9">
      <w:pPr>
        <w:autoSpaceDE w:val="0"/>
        <w:autoSpaceDN w:val="0"/>
        <w:adjustRightInd w:val="0"/>
        <w:spacing w:line="290"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三浦市海岸保全区域に係る占用料等に関する条例</w:t>
      </w:r>
    </w:p>
    <w:p w:rsidR="00000000" w:rsidRDefault="00114DB9">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（趣旨）</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第１条</w:t>
      </w:r>
      <w:r>
        <w:rPr>
          <w:rFonts w:ascii="ＭＳ 明朝" w:eastAsia="ＭＳ 明朝" w:cs="ＭＳ 明朝" w:hint="eastAsia"/>
          <w:kern w:val="0"/>
          <w:szCs w:val="21"/>
          <w:lang w:val="ja-JP"/>
        </w:rPr>
        <w:t xml:space="preserve">　この条例は、海岸法（昭和</w:t>
      </w:r>
      <w:r>
        <w:rPr>
          <w:rFonts w:ascii="ＭＳ 明朝" w:eastAsia="ＭＳ 明朝" w:cs="ＭＳ 明朝"/>
          <w:kern w:val="0"/>
          <w:szCs w:val="21"/>
          <w:lang w:val="ja-JP"/>
        </w:rPr>
        <w:t>31</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101</w:t>
      </w:r>
      <w:r>
        <w:rPr>
          <w:rFonts w:ascii="ＭＳ 明朝" w:eastAsia="ＭＳ 明朝" w:cs="ＭＳ 明朝" w:hint="eastAsia"/>
          <w:kern w:val="0"/>
          <w:szCs w:val="21"/>
          <w:lang w:val="ja-JP"/>
        </w:rPr>
        <w:t>号。以下「法」という。）第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条の規定に基づく海岸保全区域に係る占用料及び土石採取料（以下「占用</w:t>
      </w:r>
      <w:r>
        <w:rPr>
          <w:rFonts w:ascii="ＭＳ 明朝" w:eastAsia="ＭＳ 明朝" w:cs="ＭＳ 明朝" w:hint="eastAsia"/>
          <w:kern w:val="0"/>
          <w:szCs w:val="21"/>
          <w:lang w:val="ja-JP"/>
        </w:rPr>
        <w:t>料等」という。）の徴収に関し、必要な事項を定めるものとする。</w:t>
      </w:r>
    </w:p>
    <w:p w:rsidR="00000000" w:rsidRDefault="00114DB9">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（占用料等の徴収）</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第２条</w:t>
      </w:r>
      <w:r>
        <w:rPr>
          <w:rFonts w:ascii="ＭＳ 明朝" w:eastAsia="ＭＳ 明朝" w:cs="ＭＳ 明朝" w:hint="eastAsia"/>
          <w:kern w:val="0"/>
          <w:szCs w:val="21"/>
          <w:lang w:val="ja-JP"/>
        </w:rPr>
        <w:t xml:space="preserve">　市長は、その管理に属する海岸保全区域について法第７条第１項の規定による占用の許可又は法第８条第１項の規定による土石の採取の許可を受けた者から、別表に定める占用料等を徴収する。</w:t>
      </w:r>
    </w:p>
    <w:p w:rsidR="00000000" w:rsidRDefault="00114DB9">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（占用料等の減免）</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第３条</w:t>
      </w:r>
      <w:r>
        <w:rPr>
          <w:rFonts w:ascii="ＭＳ 明朝" w:eastAsia="ＭＳ 明朝" w:cs="ＭＳ 明朝" w:hint="eastAsia"/>
          <w:kern w:val="0"/>
          <w:szCs w:val="21"/>
          <w:lang w:val="ja-JP"/>
        </w:rPr>
        <w:t xml:space="preserve">　市長は、公益性の高い事業を行うときその他特に必要があると認めるときは、占用料等を減額し、又は免除することができる。</w:t>
      </w:r>
    </w:p>
    <w:p w:rsidR="00000000" w:rsidRDefault="00114DB9">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（占用料等の不還付）</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第４条</w:t>
      </w:r>
      <w:r>
        <w:rPr>
          <w:rFonts w:ascii="ＭＳ 明朝" w:eastAsia="ＭＳ 明朝" w:cs="ＭＳ 明朝" w:hint="eastAsia"/>
          <w:kern w:val="0"/>
          <w:szCs w:val="21"/>
          <w:lang w:val="ja-JP"/>
        </w:rPr>
        <w:t xml:space="preserve">　既納の占用料等は還付しない。ただし、天災その他不可抗力により占用又は土石</w:t>
      </w:r>
      <w:r>
        <w:rPr>
          <w:rFonts w:ascii="ＭＳ 明朝" w:eastAsia="ＭＳ 明朝" w:cs="ＭＳ 明朝" w:hint="eastAsia"/>
          <w:kern w:val="0"/>
          <w:szCs w:val="21"/>
          <w:lang w:val="ja-JP"/>
        </w:rPr>
        <w:t>の採取の目的を達成することができなくなったときその他市長が特に必要と認めるときは、占用料等の全部又は一部を還付することができる。</w:t>
      </w:r>
    </w:p>
    <w:p w:rsidR="00000000" w:rsidRDefault="00114DB9">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（委任）</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第５条</w:t>
      </w:r>
      <w:r>
        <w:rPr>
          <w:rFonts w:ascii="ＭＳ 明朝" w:eastAsia="ＭＳ 明朝" w:cs="ＭＳ 明朝" w:hint="eastAsia"/>
          <w:kern w:val="0"/>
          <w:szCs w:val="21"/>
          <w:lang w:val="ja-JP"/>
        </w:rPr>
        <w:t xml:space="preserve">　この条例の施行に関して必要な事項は、規則で定める。</w:t>
      </w:r>
    </w:p>
    <w:p w:rsidR="00000000" w:rsidRDefault="00114DB9">
      <w:pPr>
        <w:autoSpaceDE w:val="0"/>
        <w:autoSpaceDN w:val="0"/>
        <w:adjustRightInd w:val="0"/>
        <w:spacing w:line="290" w:lineRule="atLeast"/>
        <w:ind w:left="63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この条例は、平成</w:t>
      </w:r>
      <w:r>
        <w:rPr>
          <w:rFonts w:ascii="ＭＳ 明朝" w:eastAsia="ＭＳ 明朝" w:cs="ＭＳ 明朝"/>
          <w:kern w:val="0"/>
          <w:szCs w:val="21"/>
          <w:lang w:val="ja-JP"/>
        </w:rPr>
        <w:t>12</w:t>
      </w:r>
      <w:r>
        <w:rPr>
          <w:rFonts w:ascii="ＭＳ 明朝" w:eastAsia="ＭＳ 明朝" w:cs="ＭＳ 明朝" w:hint="eastAsia"/>
          <w:kern w:val="0"/>
          <w:szCs w:val="21"/>
          <w:lang w:val="ja-JP"/>
        </w:rPr>
        <w:t>年４月１日から施行する。</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この条例の施行前に行われた占用料等の徴収に係る処分、手続その他の行為でこの条例の施行の際現に効力を有するものは、この条例の相当規定によって行われた処分、手続その他の行為とみなす。</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この条例の施行前に徴収した占用料等は、この条例第２条の規定により徴</w:t>
      </w:r>
      <w:r>
        <w:rPr>
          <w:rFonts w:ascii="ＭＳ 明朝" w:eastAsia="ＭＳ 明朝" w:cs="ＭＳ 明朝" w:hint="eastAsia"/>
          <w:kern w:val="0"/>
          <w:szCs w:val="21"/>
          <w:lang w:val="ja-JP"/>
        </w:rPr>
        <w:t>収した占用料等とみなす。</w:t>
      </w:r>
    </w:p>
    <w:p w:rsidR="00000000" w:rsidRDefault="00114DB9">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30</w:t>
      </w:r>
      <w:r>
        <w:rPr>
          <w:rFonts w:ascii="ＭＳ 明朝" w:eastAsia="ＭＳ 明朝" w:cs="ＭＳ 明朝" w:hint="eastAsia"/>
          <w:kern w:val="0"/>
          <w:szCs w:val="21"/>
          <w:lang w:val="ja-JP"/>
        </w:rPr>
        <w:t>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w:t>
      </w:r>
      <w:r>
        <w:rPr>
          <w:rFonts w:ascii="ＭＳ 明朝" w:eastAsia="ＭＳ 明朝" w:cs="ＭＳ 明朝"/>
          <w:kern w:val="0"/>
          <w:szCs w:val="21"/>
          <w:lang w:val="ja-JP"/>
        </w:rPr>
        <w:t>14</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27</w:t>
      </w:r>
      <w:r>
        <w:rPr>
          <w:rFonts w:ascii="ＭＳ 明朝" w:eastAsia="ＭＳ 明朝" w:cs="ＭＳ 明朝" w:hint="eastAsia"/>
          <w:kern w:val="0"/>
          <w:szCs w:val="21"/>
          <w:lang w:val="ja-JP"/>
        </w:rPr>
        <w:t>号）</w:t>
      </w:r>
    </w:p>
    <w:p w:rsidR="00000000" w:rsidRDefault="00114DB9">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年４月１日から施行する。</w:t>
      </w:r>
    </w:p>
    <w:p w:rsidR="00000000" w:rsidRDefault="00114DB9">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000000" w:rsidRDefault="00114DB9">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による改正前の三浦市漁港管理条例の規定又はこの条例による改正前の三浦市海岸保全区域に係る占用料等に関する条例の規定により算定された占用料等（当該占用料等の期間がこの条例の施行の日前に開始するものにあっては、同日前の占用等の期間に係る占用料等に限る。）であって、同日前に賦課が行われ、同日の前日までの間においてその徴収が完了していないものに係る額</w:t>
      </w:r>
      <w:r>
        <w:rPr>
          <w:rFonts w:ascii="ＭＳ 明朝" w:eastAsia="ＭＳ 明朝" w:cs="ＭＳ 明朝" w:hint="eastAsia"/>
          <w:kern w:val="0"/>
          <w:szCs w:val="21"/>
          <w:lang w:val="ja-JP"/>
        </w:rPr>
        <w:t>等については、この条例の施行の日以後においても、なお従前の例による。</w:t>
      </w:r>
    </w:p>
    <w:p w:rsidR="00000000" w:rsidRDefault="00114DB9">
      <w:pPr>
        <w:autoSpaceDE w:val="0"/>
        <w:autoSpaceDN w:val="0"/>
        <w:adjustRightInd w:val="0"/>
        <w:spacing w:line="290" w:lineRule="atLeast"/>
        <w:rPr>
          <w:rFonts w:ascii="ＭＳ 明朝" w:eastAsia="ＭＳ 明朝" w:cs="ＭＳ 明朝"/>
          <w:kern w:val="0"/>
          <w:szCs w:val="21"/>
          <w:lang w:val="ja-JP"/>
        </w:rPr>
      </w:pPr>
      <w:r>
        <w:rPr>
          <w:rFonts w:ascii="ＭＳ ゴシック" w:eastAsia="ＭＳ ゴシック" w:cs="ＭＳ ゴシック" w:hint="eastAsia"/>
          <w:kern w:val="0"/>
          <w:szCs w:val="21"/>
          <w:lang w:val="ja-JP"/>
        </w:rPr>
        <w:t>別表</w:t>
      </w:r>
      <w:r>
        <w:rPr>
          <w:rFonts w:ascii="ＭＳ 明朝" w:eastAsia="ＭＳ 明朝" w:cs="ＭＳ 明朝" w:hint="eastAsia"/>
          <w:kern w:val="0"/>
          <w:szCs w:val="21"/>
          <w:lang w:val="ja-JP"/>
        </w:rPr>
        <w:t>（第２条関係）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07"/>
        <w:gridCol w:w="607"/>
        <w:gridCol w:w="3641"/>
        <w:gridCol w:w="3438"/>
        <w:gridCol w:w="1214"/>
      </w:tblGrid>
      <w:tr w:rsidR="00000000">
        <w:tblPrEx>
          <w:tblCellMar>
            <w:top w:w="0" w:type="dxa"/>
            <w:left w:w="0" w:type="dxa"/>
            <w:bottom w:w="0" w:type="dxa"/>
            <w:right w:w="0" w:type="dxa"/>
          </w:tblCellMar>
        </w:tblPrEx>
        <w:tc>
          <w:tcPr>
            <w:tcW w:w="4854"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区分</w:t>
            </w:r>
          </w:p>
        </w:tc>
        <w:tc>
          <w:tcPr>
            <w:tcW w:w="3438"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単位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金額</w:t>
            </w:r>
          </w:p>
        </w:tc>
      </w:tr>
      <w:tr w:rsidR="00000000">
        <w:tblPrEx>
          <w:tblCellMar>
            <w:top w:w="0" w:type="dxa"/>
            <w:left w:w="0" w:type="dxa"/>
            <w:bottom w:w="0" w:type="dxa"/>
            <w:right w:w="0" w:type="dxa"/>
          </w:tblCellMar>
        </w:tblPrEx>
        <w:tc>
          <w:tcPr>
            <w:tcW w:w="607"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占用</w:t>
            </w:r>
          </w:p>
        </w:tc>
        <w:tc>
          <w:tcPr>
            <w:tcW w:w="424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通路、作業場、材料置場その他原状のまま使用するもの</w:t>
            </w:r>
          </w:p>
        </w:tc>
        <w:tc>
          <w:tcPr>
            <w:tcW w:w="343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占用面積１平方メートル１年につき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130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424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倉庫、物置、小屋、桟橋、橋りょうその他の工作物（次の各項に掲げるものを除く。）</w:t>
            </w:r>
          </w:p>
        </w:tc>
        <w:tc>
          <w:tcPr>
            <w:tcW w:w="343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260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424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住宅、事務所及び工場</w:t>
            </w:r>
          </w:p>
        </w:tc>
        <w:tc>
          <w:tcPr>
            <w:tcW w:w="343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380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424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海水浴施設、売店、休憩所及びバンガロー</w:t>
            </w:r>
          </w:p>
        </w:tc>
        <w:tc>
          <w:tcPr>
            <w:tcW w:w="343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1,560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424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係船くい及び信号柱</w:t>
            </w:r>
          </w:p>
        </w:tc>
        <w:tc>
          <w:tcPr>
            <w:tcW w:w="3438"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１基１年につき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300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607"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電柱</w:t>
            </w:r>
          </w:p>
        </w:tc>
        <w:tc>
          <w:tcPr>
            <w:tcW w:w="3641"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本柱</w:t>
            </w:r>
          </w:p>
        </w:tc>
        <w:tc>
          <w:tcPr>
            <w:tcW w:w="3438"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１本１年につき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980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3641"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支線柱及</w:t>
            </w:r>
            <w:r>
              <w:rPr>
                <w:rFonts w:ascii="ＭＳ 明朝" w:eastAsia="ＭＳ 明朝" w:cs="ＭＳ 明朝" w:hint="eastAsia"/>
                <w:kern w:val="0"/>
                <w:szCs w:val="21"/>
                <w:lang w:val="ja-JP"/>
              </w:rPr>
              <w:t>び支線</w:t>
            </w:r>
          </w:p>
        </w:tc>
        <w:tc>
          <w:tcPr>
            <w:tcW w:w="3438"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１本（条）１年につき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440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424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鉄塔</w:t>
            </w:r>
          </w:p>
        </w:tc>
        <w:tc>
          <w:tcPr>
            <w:tcW w:w="3438"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占用面積１平方メートル１年につき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730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424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広告板類</w:t>
            </w:r>
          </w:p>
        </w:tc>
        <w:tc>
          <w:tcPr>
            <w:tcW w:w="3438"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広告等に使用される表面積１平方メートル１年につき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3,450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607"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管類</w:t>
            </w:r>
          </w:p>
        </w:tc>
        <w:tc>
          <w:tcPr>
            <w:tcW w:w="3641"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内径が</w:t>
            </w:r>
            <w:r>
              <w:rPr>
                <w:rFonts w:ascii="ＭＳ 明朝" w:eastAsia="ＭＳ 明朝" w:cs="ＭＳ 明朝"/>
                <w:kern w:val="0"/>
                <w:szCs w:val="21"/>
                <w:lang w:val="ja-JP"/>
              </w:rPr>
              <w:t>600</w:t>
            </w:r>
            <w:r>
              <w:rPr>
                <w:rFonts w:ascii="ＭＳ 明朝" w:eastAsia="ＭＳ 明朝" w:cs="ＭＳ 明朝" w:hint="eastAsia"/>
                <w:kern w:val="0"/>
                <w:szCs w:val="21"/>
                <w:lang w:val="ja-JP"/>
              </w:rPr>
              <w:t>ミリメートル未満のもの</w:t>
            </w:r>
          </w:p>
        </w:tc>
        <w:tc>
          <w:tcPr>
            <w:tcW w:w="343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長さ１メートル１年につき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150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6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3641"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内径が</w:t>
            </w:r>
            <w:r>
              <w:rPr>
                <w:rFonts w:ascii="ＭＳ 明朝" w:eastAsia="ＭＳ 明朝" w:cs="ＭＳ 明朝"/>
                <w:kern w:val="0"/>
                <w:szCs w:val="21"/>
                <w:lang w:val="ja-JP"/>
              </w:rPr>
              <w:t>600</w:t>
            </w:r>
            <w:r>
              <w:rPr>
                <w:rFonts w:ascii="ＭＳ 明朝" w:eastAsia="ＭＳ 明朝" w:cs="ＭＳ 明朝" w:hint="eastAsia"/>
                <w:kern w:val="0"/>
                <w:szCs w:val="21"/>
                <w:lang w:val="ja-JP"/>
              </w:rPr>
              <w:t>ミリメートル以上のもの</w:t>
            </w:r>
          </w:p>
        </w:tc>
        <w:tc>
          <w:tcPr>
            <w:tcW w:w="343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jc w:val="left"/>
              <w:rPr>
                <w:rFonts w:ascii="ＭＳ 明朝" w:eastAsia="ＭＳ 明朝" w:cs="ＭＳ 明朝"/>
                <w:kern w:val="0"/>
                <w:szCs w:val="21"/>
                <w:lang w:val="ja-JP"/>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360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4854"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土石の採取</w:t>
            </w:r>
          </w:p>
        </w:tc>
        <w:tc>
          <w:tcPr>
            <w:tcW w:w="3438"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１立方メートルにつき</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00000" w:rsidRDefault="00114DB9">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210</w:t>
            </w:r>
            <w:r>
              <w:rPr>
                <w:rFonts w:ascii="ＭＳ 明朝" w:eastAsia="ＭＳ 明朝" w:cs="ＭＳ 明朝" w:hint="eastAsia"/>
                <w:kern w:val="0"/>
                <w:szCs w:val="21"/>
                <w:lang w:val="ja-JP"/>
              </w:rPr>
              <w:t>円</w:t>
            </w:r>
          </w:p>
        </w:tc>
      </w:tr>
    </w:tbl>
    <w:p w:rsidR="00000000" w:rsidRDefault="00114DB9">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hint="eastAsia"/>
          <w:kern w:val="0"/>
          <w:szCs w:val="21"/>
          <w:lang w:val="ja-JP"/>
        </w:rPr>
        <w:t>備考</w:t>
      </w:r>
    </w:p>
    <w:p w:rsidR="00000000" w:rsidRDefault="00114DB9">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この表中１平方メートル、１メートル若しくは１立方メートルに満たないとき、又はそれらに端数が生じたときは、それぞれの満たない数又は端数は、１平方メー</w:t>
      </w:r>
      <w:r>
        <w:rPr>
          <w:rFonts w:ascii="ＭＳ 明朝" w:eastAsia="ＭＳ 明朝" w:cs="ＭＳ 明朝" w:hint="eastAsia"/>
          <w:kern w:val="0"/>
          <w:szCs w:val="21"/>
          <w:lang w:val="ja-JP"/>
        </w:rPr>
        <w:t>トル、１メートル又は１立方メートルとして計算する。</w:t>
      </w:r>
    </w:p>
    <w:p w:rsidR="00114DB9" w:rsidRDefault="00114DB9">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２　占用の期間が１年未満であるとき、又はその期間に１年未満の端数があるときは月割りをもって計算し、なお１月未満の端数があるときはその端数は１月として計算する。ただし、海水浴施設及びバンガローについては、日割りをもって計算する。</w:t>
      </w:r>
    </w:p>
    <w:sectPr w:rsidR="00114DB9">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B9" w:rsidRDefault="00114DB9">
      <w:r>
        <w:separator/>
      </w:r>
    </w:p>
  </w:endnote>
  <w:endnote w:type="continuationSeparator" w:id="0">
    <w:p w:rsidR="00114DB9" w:rsidRDefault="001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14DB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F51971">
      <w:rPr>
        <w:rFonts w:ascii="ＭＳ 明朝" w:eastAsia="ＭＳ 明朝" w:cs="ＭＳ 明朝"/>
        <w:kern w:val="0"/>
        <w:sz w:val="24"/>
        <w:szCs w:val="24"/>
      </w:rPr>
      <w:fldChar w:fldCharType="separate"/>
    </w:r>
    <w:r w:rsidR="00F51971">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F51971">
      <w:rPr>
        <w:rFonts w:ascii="ＭＳ 明朝" w:eastAsia="ＭＳ 明朝" w:cs="ＭＳ 明朝"/>
        <w:kern w:val="0"/>
        <w:sz w:val="24"/>
        <w:szCs w:val="24"/>
      </w:rPr>
      <w:fldChar w:fldCharType="separate"/>
    </w:r>
    <w:r w:rsidR="00F51971">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B9" w:rsidRDefault="00114DB9">
      <w:r>
        <w:separator/>
      </w:r>
    </w:p>
  </w:footnote>
  <w:footnote w:type="continuationSeparator" w:id="0">
    <w:p w:rsidR="00114DB9" w:rsidRDefault="001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1"/>
    <w:rsid w:val="00114DB9"/>
    <w:rsid w:val="00F5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6524E2-B888-4729-8454-55917697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Miura City</dc:creator>
  <cp:keywords/>
  <dc:description/>
  <cp:lastModifiedBy>Miura City</cp:lastModifiedBy>
  <cp:revision>2</cp:revision>
  <dcterms:created xsi:type="dcterms:W3CDTF">2019-02-26T22:43:00Z</dcterms:created>
  <dcterms:modified xsi:type="dcterms:W3CDTF">2019-02-26T22:43:00Z</dcterms:modified>
</cp:coreProperties>
</file>